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F252" w14:textId="77777777" w:rsidR="00A9235B" w:rsidRPr="00017A8B" w:rsidRDefault="00A9235B" w:rsidP="00A9235B">
      <w:pPr>
        <w:jc w:val="center"/>
        <w:rPr>
          <w:rFonts w:ascii="Verdana" w:hAnsi="Verdana"/>
        </w:rPr>
      </w:pPr>
      <w:r w:rsidRPr="00017A8B">
        <w:rPr>
          <w:rFonts w:ascii="Verdana" w:hAnsi="Verdana"/>
        </w:rPr>
        <w:t xml:space="preserve">Statement of Consideration (SOC) </w:t>
      </w:r>
    </w:p>
    <w:p w14:paraId="5FDBF253" w14:textId="532A7ABC" w:rsidR="00A9235B" w:rsidRPr="00017A8B" w:rsidRDefault="008E4AD2" w:rsidP="00A9235B">
      <w:pPr>
        <w:jc w:val="center"/>
        <w:rPr>
          <w:rFonts w:ascii="Verdana" w:hAnsi="Verdana"/>
        </w:rPr>
      </w:pPr>
      <w:r>
        <w:rPr>
          <w:rFonts w:ascii="Verdana" w:hAnsi="Verdana"/>
        </w:rPr>
        <w:t>PPTL 20</w:t>
      </w:r>
      <w:r w:rsidR="005827E0">
        <w:rPr>
          <w:rFonts w:ascii="Verdana" w:hAnsi="Verdana"/>
        </w:rPr>
        <w:t>-06</w:t>
      </w:r>
      <w:r w:rsidR="00A9235B" w:rsidRPr="00017A8B">
        <w:rPr>
          <w:rFonts w:ascii="Verdana" w:hAnsi="Verdana"/>
        </w:rPr>
        <w:t xml:space="preserve"> SOP </w:t>
      </w:r>
      <w:r w:rsidR="001E6554">
        <w:rPr>
          <w:rFonts w:ascii="Verdana" w:hAnsi="Verdana"/>
        </w:rPr>
        <w:t>4.26.2 Authorization for Medical Services and DPP-106A Authorization for Health Care</w:t>
      </w:r>
    </w:p>
    <w:p w14:paraId="5FDBF254" w14:textId="77777777" w:rsidR="00A9235B" w:rsidRDefault="00A9235B" w:rsidP="00A9235B">
      <w:pPr>
        <w:tabs>
          <w:tab w:val="left" w:pos="0"/>
        </w:tabs>
        <w:spacing w:line="240" w:lineRule="auto"/>
        <w:rPr>
          <w:rFonts w:ascii="Verdana" w:hAnsi="Verdana" w:cs="Arial"/>
        </w:rPr>
      </w:pPr>
      <w:r w:rsidRPr="00017A8B">
        <w:rPr>
          <w:rFonts w:ascii="Verdana" w:hAnsi="Verdana" w:cs="Arial"/>
        </w:rPr>
        <w:t xml:space="preserve">The following comments </w:t>
      </w:r>
      <w:proofErr w:type="gramStart"/>
      <w:r w:rsidRPr="00017A8B">
        <w:rPr>
          <w:rFonts w:ascii="Verdana" w:hAnsi="Verdana" w:cs="Arial"/>
        </w:rPr>
        <w:t>were received</w:t>
      </w:r>
      <w:proofErr w:type="gramEnd"/>
      <w:r w:rsidRPr="00017A8B">
        <w:rPr>
          <w:rFonts w:ascii="Verdana" w:hAnsi="Verdana" w:cs="Arial"/>
        </w:rPr>
        <w:t xml:space="preserve"> in response to SOP drafts sent for field review.  Thanks to those who reviewed and commented.  Comments about typographical and grammatical errors </w:t>
      </w:r>
      <w:proofErr w:type="gramStart"/>
      <w:r w:rsidRPr="00017A8B">
        <w:rPr>
          <w:rFonts w:ascii="Verdana" w:hAnsi="Verdana" w:cs="Arial"/>
        </w:rPr>
        <w:t>are excluded</w:t>
      </w:r>
      <w:proofErr w:type="gramEnd"/>
      <w:r w:rsidRPr="00017A8B">
        <w:rPr>
          <w:rFonts w:ascii="Verdana" w:hAnsi="Verdana" w:cs="Arial"/>
        </w:rPr>
        <w:t>; these errors have been corrected as appropriate.</w:t>
      </w:r>
    </w:p>
    <w:p w14:paraId="5FDBF255" w14:textId="77777777" w:rsidR="001E6554" w:rsidRPr="001E6554" w:rsidRDefault="001E6554" w:rsidP="00A9235B">
      <w:pPr>
        <w:tabs>
          <w:tab w:val="left" w:pos="0"/>
        </w:tabs>
        <w:spacing w:line="240" w:lineRule="auto"/>
        <w:rPr>
          <w:rFonts w:ascii="Verdana" w:hAnsi="Verdana" w:cs="Arial"/>
          <w:b/>
          <w:u w:val="single"/>
        </w:rPr>
      </w:pPr>
      <w:r w:rsidRPr="001E6554">
        <w:rPr>
          <w:rFonts w:ascii="Verdana" w:hAnsi="Verdana" w:cs="Arial"/>
          <w:b/>
          <w:u w:val="single"/>
        </w:rPr>
        <w:t>SOP 4.26.2</w:t>
      </w:r>
      <w:bookmarkStart w:id="0" w:name="_GoBack"/>
      <w:bookmarkEnd w:id="0"/>
    </w:p>
    <w:p w14:paraId="5FDBF256" w14:textId="77777777" w:rsidR="0074137E" w:rsidRPr="0028274B" w:rsidRDefault="00F0750C" w:rsidP="0074137E">
      <w:pPr>
        <w:pStyle w:val="ListParagraph"/>
        <w:numPr>
          <w:ilvl w:val="0"/>
          <w:numId w:val="8"/>
        </w:numPr>
        <w:spacing w:before="100" w:beforeAutospacing="1" w:after="100" w:afterAutospacing="1"/>
        <w:rPr>
          <w:rFonts w:cstheme="minorHAnsi"/>
          <w:iCs/>
        </w:rPr>
      </w:pPr>
      <w:r w:rsidRPr="0028274B">
        <w:rPr>
          <w:rFonts w:cstheme="minorHAnsi"/>
          <w:b/>
        </w:rPr>
        <w:t xml:space="preserve">COMMENT:  </w:t>
      </w:r>
      <w:r w:rsidR="0074137E" w:rsidRPr="0028274B">
        <w:rPr>
          <w:rFonts w:cstheme="minorHAnsi"/>
          <w:iCs/>
        </w:rPr>
        <w:t xml:space="preserve">It </w:t>
      </w:r>
      <w:proofErr w:type="gramStart"/>
      <w:r w:rsidR="0074137E" w:rsidRPr="0028274B">
        <w:rPr>
          <w:rFonts w:cstheme="minorHAnsi"/>
          <w:iCs/>
        </w:rPr>
        <w:t>should be noted</w:t>
      </w:r>
      <w:proofErr w:type="gramEnd"/>
      <w:r w:rsidR="0074137E" w:rsidRPr="0028274B">
        <w:rPr>
          <w:rFonts w:cstheme="minorHAnsi"/>
          <w:iCs/>
        </w:rPr>
        <w:t xml:space="preserve"> that in the event non-routine care is needed, the foster parent always informs DPP.  Staff worry after FSOS’s sign giving foster parents permission to sign maybe they would just sign for things in the future and not inform DPP timely.  </w:t>
      </w:r>
    </w:p>
    <w:p w14:paraId="5FDBF257" w14:textId="77777777" w:rsidR="0074137E" w:rsidRPr="0028274B" w:rsidRDefault="0074137E" w:rsidP="009E4705">
      <w:pPr>
        <w:ind w:firstLine="720"/>
        <w:rPr>
          <w:rFonts w:cstheme="minorHAnsi"/>
          <w:b/>
        </w:rPr>
      </w:pPr>
      <w:r w:rsidRPr="0028274B">
        <w:rPr>
          <w:rFonts w:cstheme="minorHAnsi"/>
        </w:rPr>
        <w:t>Procedure</w:t>
      </w:r>
    </w:p>
    <w:p w14:paraId="5FDBF258" w14:textId="77777777" w:rsidR="0074137E" w:rsidRPr="0028274B" w:rsidRDefault="0074137E" w:rsidP="009E4705">
      <w:pPr>
        <w:ind w:left="720"/>
        <w:rPr>
          <w:rFonts w:cstheme="minorHAnsi"/>
          <w:strike/>
          <w:color w:val="FF0000"/>
        </w:rPr>
      </w:pPr>
      <w:r w:rsidRPr="0028274B">
        <w:rPr>
          <w:rFonts w:cstheme="minorHAnsi"/>
        </w:rPr>
        <w:t xml:space="preserve">2.  DCBS </w:t>
      </w:r>
      <w:r w:rsidRPr="0028274B">
        <w:rPr>
          <w:rFonts w:cstheme="minorHAnsi"/>
          <w:b/>
          <w:bCs/>
          <w:color w:val="FF0000"/>
        </w:rPr>
        <w:t>should attempt to engage the parent(s) of a child in the custody of or committed to the cabinet upon entry into out of home care</w:t>
      </w:r>
      <w:r w:rsidR="007F1AF9">
        <w:rPr>
          <w:rFonts w:cstheme="minorHAnsi"/>
          <w:b/>
          <w:bCs/>
          <w:color w:val="FF0000"/>
        </w:rPr>
        <w:t xml:space="preserve"> (OOHC)</w:t>
      </w:r>
      <w:r w:rsidRPr="0028274B">
        <w:rPr>
          <w:rFonts w:cstheme="minorHAnsi"/>
          <w:b/>
          <w:bCs/>
          <w:color w:val="FF0000"/>
        </w:rPr>
        <w:t xml:space="preserve">.  DCBS may consent to non-routine or routine medical procedures in the event either parent is unable to </w:t>
      </w:r>
      <w:proofErr w:type="gramStart"/>
      <w:r w:rsidRPr="0028274B">
        <w:rPr>
          <w:rFonts w:cstheme="minorHAnsi"/>
          <w:b/>
          <w:bCs/>
          <w:color w:val="FF0000"/>
        </w:rPr>
        <w:t>be reached</w:t>
      </w:r>
      <w:proofErr w:type="gramEnd"/>
      <w:r w:rsidRPr="0028274B">
        <w:rPr>
          <w:rFonts w:cstheme="minorHAnsi"/>
          <w:b/>
          <w:bCs/>
          <w:color w:val="FF0000"/>
        </w:rPr>
        <w:t>.</w:t>
      </w:r>
      <w:r w:rsidRPr="0028274B">
        <w:rPr>
          <w:rFonts w:cstheme="minorHAnsi"/>
          <w:color w:val="FF0000"/>
        </w:rPr>
        <w:t> </w:t>
      </w:r>
      <w:r w:rsidRPr="0028274B">
        <w:rPr>
          <w:rFonts w:cstheme="minorHAnsi"/>
          <w:b/>
          <w:bCs/>
          <w:color w:val="FF0000"/>
        </w:rPr>
        <w:t xml:space="preserve"> An exception </w:t>
      </w:r>
      <w:proofErr w:type="gramStart"/>
      <w:r w:rsidRPr="0028274B">
        <w:rPr>
          <w:rFonts w:cstheme="minorHAnsi"/>
          <w:b/>
          <w:bCs/>
          <w:color w:val="FF0000"/>
        </w:rPr>
        <w:t>may be made</w:t>
      </w:r>
      <w:proofErr w:type="gramEnd"/>
      <w:r w:rsidRPr="0028274B">
        <w:rPr>
          <w:rFonts w:cstheme="minorHAnsi"/>
          <w:b/>
          <w:bCs/>
          <w:color w:val="FF0000"/>
        </w:rPr>
        <w:t xml:space="preserve"> if the parent has provided consent prior to the medical procedure, in which case, the SSW advises the FSOS and the FSOS may sign the consent form, which also authorizes a foster parent to sign for medical consent in non-routine situations.</w:t>
      </w:r>
      <w:r w:rsidRPr="0028274B">
        <w:rPr>
          <w:rFonts w:cstheme="minorHAnsi"/>
          <w:color w:val="FF0000"/>
        </w:rPr>
        <w:t> </w:t>
      </w:r>
      <w:r w:rsidRPr="0028274B">
        <w:rPr>
          <w:rFonts w:cstheme="minorHAnsi"/>
          <w:b/>
          <w:bCs/>
          <w:color w:val="FF0000"/>
        </w:rPr>
        <w:t>1</w:t>
      </w:r>
      <w:proofErr w:type="gramStart"/>
      <w:r w:rsidRPr="0028274B">
        <w:rPr>
          <w:rFonts w:cstheme="minorHAnsi"/>
          <w:b/>
          <w:bCs/>
          <w:color w:val="FF0000"/>
        </w:rPr>
        <w:t> </w:t>
      </w:r>
      <w:r w:rsidRPr="0028274B">
        <w:rPr>
          <w:rFonts w:cstheme="minorHAnsi"/>
          <w:color w:val="FF0000"/>
        </w:rPr>
        <w:t> </w:t>
      </w:r>
      <w:r w:rsidRPr="0028274B">
        <w:rPr>
          <w:rFonts w:cstheme="minorHAnsi"/>
          <w:strike/>
          <w:color w:val="FF0000"/>
        </w:rPr>
        <w:t>does</w:t>
      </w:r>
      <w:proofErr w:type="gramEnd"/>
      <w:r w:rsidRPr="0028274B">
        <w:rPr>
          <w:rFonts w:cstheme="minorHAnsi"/>
          <w:strike/>
          <w:color w:val="FF0000"/>
        </w:rPr>
        <w:t xml:space="preserve"> not consent to anything other than routine health care if the child is in the emergency or temporary custody of the Cabinet.  The only exception to this is if neither the parent nor the court has provided consent prior to the medical procedure, in which case, the SSW advises the FSOS and the FSOS may sign the consent form. </w:t>
      </w:r>
    </w:p>
    <w:p w14:paraId="5FDBF259" w14:textId="77777777" w:rsidR="00EF21E2" w:rsidRPr="0028274B" w:rsidRDefault="009E4705" w:rsidP="009E4705">
      <w:pPr>
        <w:ind w:left="360"/>
        <w:rPr>
          <w:rFonts w:cstheme="minorHAnsi"/>
          <w:b/>
        </w:rPr>
      </w:pPr>
      <w:r>
        <w:rPr>
          <w:rFonts w:cstheme="minorHAnsi"/>
          <w:b/>
        </w:rPr>
        <w:t>RESPONSE</w:t>
      </w:r>
      <w:r w:rsidR="0074137E" w:rsidRPr="0028274B">
        <w:rPr>
          <w:rFonts w:cstheme="minorHAnsi"/>
          <w:b/>
        </w:rPr>
        <w:t xml:space="preserve">: </w:t>
      </w:r>
      <w:r w:rsidRPr="009E4705">
        <w:rPr>
          <w:rFonts w:cstheme="minorHAnsi"/>
        </w:rPr>
        <w:t>P</w:t>
      </w:r>
      <w:r>
        <w:rPr>
          <w:rFonts w:cstheme="minorHAnsi"/>
        </w:rPr>
        <w:t xml:space="preserve">olicy </w:t>
      </w:r>
      <w:proofErr w:type="gramStart"/>
      <w:r>
        <w:rPr>
          <w:rFonts w:cstheme="minorHAnsi"/>
        </w:rPr>
        <w:t>is</w:t>
      </w:r>
      <w:r w:rsidRPr="009E4705">
        <w:rPr>
          <w:rFonts w:cstheme="minorHAnsi"/>
        </w:rPr>
        <w:t xml:space="preserve"> updated</w:t>
      </w:r>
      <w:proofErr w:type="gramEnd"/>
      <w:r w:rsidRPr="009E4705">
        <w:rPr>
          <w:rFonts w:cstheme="minorHAnsi"/>
        </w:rPr>
        <w:t xml:space="preserve"> to include</w:t>
      </w:r>
      <w:r w:rsidR="00F81D95">
        <w:rPr>
          <w:rFonts w:cstheme="minorHAnsi"/>
        </w:rPr>
        <w:t xml:space="preserve">: </w:t>
      </w:r>
      <w:r w:rsidR="00F81D95" w:rsidRPr="00BB2A94">
        <w:rPr>
          <w:rFonts w:ascii="Verdana" w:eastAsia="Times New Roman" w:hAnsi="Verdana" w:cs="Times New Roman"/>
          <w:color w:val="676767"/>
          <w:sz w:val="16"/>
          <w:szCs w:val="16"/>
        </w:rPr>
        <w:t> </w:t>
      </w:r>
      <w:r w:rsidR="00F81D95" w:rsidRPr="00F81D95">
        <w:rPr>
          <w:rFonts w:eastAsia="Times New Roman" w:cstheme="minorHAnsi"/>
          <w:b/>
          <w:color w:val="FF0000"/>
        </w:rPr>
        <w:t>A SSW or FSOS should be notified by the next business day following a medical appointment in which they could not be reached to consent</w:t>
      </w:r>
      <w:r w:rsidR="00F81D95" w:rsidRPr="00F81D95">
        <w:rPr>
          <w:rFonts w:ascii="Verdana" w:eastAsia="Times New Roman" w:hAnsi="Verdana" w:cs="Times New Roman"/>
          <w:b/>
          <w:color w:val="FF0000"/>
          <w:sz w:val="16"/>
          <w:szCs w:val="16"/>
        </w:rPr>
        <w:t>.</w:t>
      </w:r>
      <w:r w:rsidR="00F81D95">
        <w:rPr>
          <w:rFonts w:ascii="Verdana" w:eastAsia="Times New Roman" w:hAnsi="Verdana" w:cs="Times New Roman"/>
          <w:color w:val="FF0000"/>
          <w:sz w:val="16"/>
          <w:szCs w:val="16"/>
        </w:rPr>
        <w:t xml:space="preserve">  </w:t>
      </w:r>
    </w:p>
    <w:p w14:paraId="5FDBF25A" w14:textId="77777777" w:rsidR="0074137E" w:rsidRDefault="0074137E" w:rsidP="0074137E">
      <w:pPr>
        <w:rPr>
          <w:b/>
        </w:rPr>
      </w:pPr>
    </w:p>
    <w:p w14:paraId="5FDBF25B" w14:textId="77777777" w:rsidR="0074137E" w:rsidRPr="0028274B" w:rsidRDefault="0074137E" w:rsidP="0074137E">
      <w:pPr>
        <w:pStyle w:val="ListParagraph"/>
        <w:numPr>
          <w:ilvl w:val="0"/>
          <w:numId w:val="8"/>
        </w:numPr>
        <w:rPr>
          <w:rFonts w:cstheme="minorHAnsi"/>
          <w:iCs/>
        </w:rPr>
      </w:pPr>
      <w:r w:rsidRPr="0028274B">
        <w:rPr>
          <w:rFonts w:cstheme="minorHAnsi"/>
          <w:b/>
        </w:rPr>
        <w:t xml:space="preserve">Comment:  </w:t>
      </w:r>
      <w:r w:rsidRPr="0028274B">
        <w:rPr>
          <w:rFonts w:cstheme="minorHAnsi"/>
          <w:iCs/>
        </w:rPr>
        <w:t xml:space="preserve">There needs to be a better explanation and requirement for workers to document that they have actually tried to contact the parents- such as phone call, home visits, etc.  </w:t>
      </w:r>
    </w:p>
    <w:p w14:paraId="5FDBF25C" w14:textId="77777777" w:rsidR="0074137E" w:rsidRPr="0028274B" w:rsidRDefault="0074137E" w:rsidP="0074137E">
      <w:pPr>
        <w:pStyle w:val="ListParagraph"/>
        <w:ind w:left="360"/>
        <w:rPr>
          <w:rFonts w:cstheme="minorHAnsi"/>
          <w:b/>
        </w:rPr>
      </w:pPr>
    </w:p>
    <w:p w14:paraId="5FDBF25D" w14:textId="77777777" w:rsidR="0074137E" w:rsidRPr="0028274B" w:rsidRDefault="0074137E" w:rsidP="0074137E">
      <w:pPr>
        <w:rPr>
          <w:rFonts w:cstheme="minorHAnsi"/>
          <w:b/>
        </w:rPr>
      </w:pPr>
      <w:r w:rsidRPr="0028274B">
        <w:rPr>
          <w:rFonts w:cstheme="minorHAnsi"/>
          <w:b/>
        </w:rPr>
        <w:t>Non-Routine Health Care</w:t>
      </w:r>
    </w:p>
    <w:p w14:paraId="5FDBF25E" w14:textId="77777777" w:rsidR="0074137E" w:rsidRPr="0028274B" w:rsidRDefault="0074137E" w:rsidP="0074137E">
      <w:pPr>
        <w:pStyle w:val="ListParagraph"/>
        <w:numPr>
          <w:ilvl w:val="0"/>
          <w:numId w:val="9"/>
        </w:numPr>
        <w:spacing w:after="0" w:line="240" w:lineRule="auto"/>
        <w:rPr>
          <w:rFonts w:cstheme="minorHAnsi"/>
        </w:rPr>
      </w:pPr>
      <w:r w:rsidRPr="0028274B">
        <w:rPr>
          <w:rFonts w:cstheme="minorHAnsi"/>
        </w:rPr>
        <w:t xml:space="preserve">(2) Efforts to locate the parents to obtain consent. </w:t>
      </w:r>
    </w:p>
    <w:p w14:paraId="5FDBF25F" w14:textId="77777777" w:rsidR="0074137E" w:rsidRPr="0028274B" w:rsidRDefault="0074137E" w:rsidP="0074137E">
      <w:pPr>
        <w:pStyle w:val="ListParagraph"/>
        <w:ind w:left="0"/>
        <w:rPr>
          <w:rFonts w:cstheme="minorHAnsi"/>
          <w:b/>
        </w:rPr>
      </w:pPr>
    </w:p>
    <w:p w14:paraId="5FDBF260" w14:textId="77777777" w:rsidR="0074137E" w:rsidRPr="0028274B" w:rsidRDefault="0074137E" w:rsidP="0074137E">
      <w:pPr>
        <w:pStyle w:val="ListParagraph"/>
        <w:ind w:left="0"/>
        <w:rPr>
          <w:rFonts w:cstheme="minorHAnsi"/>
          <w:b/>
        </w:rPr>
      </w:pPr>
    </w:p>
    <w:p w14:paraId="5FDBF261" w14:textId="77777777" w:rsidR="00F81D95" w:rsidRPr="001119FF" w:rsidRDefault="0074137E" w:rsidP="00F81D95">
      <w:pPr>
        <w:spacing w:before="100" w:beforeAutospacing="1" w:after="100" w:afterAutospacing="1" w:line="240" w:lineRule="auto"/>
        <w:ind w:left="720"/>
        <w:rPr>
          <w:rFonts w:ascii="Verdana" w:eastAsia="Times New Roman" w:hAnsi="Verdana" w:cs="Times New Roman"/>
          <w:color w:val="FF0000"/>
          <w:sz w:val="16"/>
          <w:szCs w:val="16"/>
        </w:rPr>
      </w:pPr>
      <w:r w:rsidRPr="0028274B">
        <w:rPr>
          <w:rFonts w:cstheme="minorHAnsi"/>
          <w:b/>
        </w:rPr>
        <w:t xml:space="preserve">Response:  </w:t>
      </w:r>
      <w:r w:rsidR="00F81D95" w:rsidRPr="00F81D95">
        <w:rPr>
          <w:rFonts w:cstheme="minorHAnsi"/>
        </w:rPr>
        <w:t xml:space="preserve">Additional guidance </w:t>
      </w:r>
      <w:proofErr w:type="gramStart"/>
      <w:r w:rsidR="00F81D95" w:rsidRPr="00F81D95">
        <w:rPr>
          <w:rFonts w:cstheme="minorHAnsi"/>
        </w:rPr>
        <w:t>has been added</w:t>
      </w:r>
      <w:proofErr w:type="gramEnd"/>
      <w:r w:rsidR="00F81D95">
        <w:rPr>
          <w:rFonts w:cstheme="minorHAnsi"/>
          <w:b/>
        </w:rPr>
        <w:t xml:space="preserve">.   </w:t>
      </w:r>
      <w:r w:rsidR="00F81D95" w:rsidRPr="00F81D95">
        <w:rPr>
          <w:rFonts w:eastAsia="Times New Roman" w:cstheme="minorHAnsi"/>
          <w:b/>
          <w:color w:val="FF0000"/>
        </w:rPr>
        <w:t>The SSW should document attempts to obtain medical consent from parents in a variety of ways including home visits and phone calls.</w:t>
      </w:r>
    </w:p>
    <w:p w14:paraId="5FDBF262" w14:textId="77777777" w:rsidR="0074137E" w:rsidRPr="0028274B" w:rsidRDefault="0074137E" w:rsidP="0074137E">
      <w:pPr>
        <w:pStyle w:val="ListParagraph"/>
        <w:ind w:left="360"/>
        <w:rPr>
          <w:rFonts w:cstheme="minorHAnsi"/>
          <w:b/>
        </w:rPr>
      </w:pPr>
    </w:p>
    <w:p w14:paraId="5FDBF263" w14:textId="77777777" w:rsidR="0074137E" w:rsidRPr="0028274B" w:rsidRDefault="0074137E" w:rsidP="0074137E">
      <w:pPr>
        <w:pStyle w:val="ListParagraph"/>
        <w:ind w:left="360"/>
        <w:rPr>
          <w:rFonts w:cstheme="minorHAnsi"/>
          <w:b/>
        </w:rPr>
      </w:pPr>
    </w:p>
    <w:p w14:paraId="5FDBF264" w14:textId="77777777" w:rsidR="0074137E" w:rsidRPr="0028274B" w:rsidRDefault="0074137E" w:rsidP="0074137E">
      <w:pPr>
        <w:pStyle w:val="ListParagraph"/>
        <w:ind w:left="360"/>
        <w:rPr>
          <w:rFonts w:cstheme="minorHAnsi"/>
          <w:b/>
        </w:rPr>
      </w:pPr>
    </w:p>
    <w:p w14:paraId="5FDBF265" w14:textId="77777777" w:rsidR="0074137E" w:rsidRPr="0028274B" w:rsidRDefault="0074137E" w:rsidP="0074137E">
      <w:pPr>
        <w:pStyle w:val="ListParagraph"/>
        <w:ind w:left="360"/>
        <w:rPr>
          <w:rFonts w:cstheme="minorHAnsi"/>
          <w:b/>
        </w:rPr>
      </w:pPr>
    </w:p>
    <w:p w14:paraId="5FDBF266" w14:textId="77777777" w:rsidR="0074137E" w:rsidRPr="0028274B" w:rsidRDefault="0074137E" w:rsidP="0074137E">
      <w:pPr>
        <w:pStyle w:val="ListParagraph"/>
        <w:numPr>
          <w:ilvl w:val="0"/>
          <w:numId w:val="8"/>
        </w:numPr>
        <w:rPr>
          <w:rFonts w:cstheme="minorHAnsi"/>
          <w:iCs/>
        </w:rPr>
      </w:pPr>
      <w:r w:rsidRPr="0028274B">
        <w:rPr>
          <w:rFonts w:cstheme="minorHAnsi"/>
          <w:b/>
        </w:rPr>
        <w:t xml:space="preserve">Comment:  </w:t>
      </w:r>
      <w:r w:rsidRPr="0028274B">
        <w:rPr>
          <w:rFonts w:cstheme="minorHAnsi"/>
          <w:iCs/>
        </w:rPr>
        <w:t xml:space="preserve">Staff </w:t>
      </w:r>
      <w:proofErr w:type="gramStart"/>
      <w:r w:rsidRPr="0028274B">
        <w:rPr>
          <w:rFonts w:cstheme="minorHAnsi"/>
          <w:iCs/>
        </w:rPr>
        <w:t>can’t</w:t>
      </w:r>
      <w:proofErr w:type="gramEnd"/>
      <w:r w:rsidRPr="0028274B">
        <w:rPr>
          <w:rFonts w:cstheme="minorHAnsi"/>
          <w:iCs/>
        </w:rPr>
        <w:t xml:space="preserve"> imagine a situation where the placement (foster family or PCC) couldn’t at least be able to reach someone on call (Worker, Supervisor, Regional Office Staff).  Staff are worried things will happen with our kids and we </w:t>
      </w:r>
      <w:proofErr w:type="gramStart"/>
      <w:r w:rsidRPr="0028274B">
        <w:rPr>
          <w:rFonts w:cstheme="minorHAnsi"/>
          <w:iCs/>
        </w:rPr>
        <w:t>won’t</w:t>
      </w:r>
      <w:proofErr w:type="gramEnd"/>
      <w:r w:rsidRPr="0028274B">
        <w:rPr>
          <w:rFonts w:cstheme="minorHAnsi"/>
          <w:iCs/>
        </w:rPr>
        <w:t xml:space="preserve"> know about it.  Staff feel that we should get an incident report at least if/when a situation like this occurs.  </w:t>
      </w:r>
    </w:p>
    <w:p w14:paraId="5FDBF267" w14:textId="77777777" w:rsidR="00F75917" w:rsidRPr="0028274B" w:rsidRDefault="00F75917" w:rsidP="00F75917">
      <w:pPr>
        <w:spacing w:before="100" w:beforeAutospacing="1" w:after="100" w:afterAutospacing="1"/>
        <w:rPr>
          <w:rFonts w:cstheme="minorHAnsi"/>
          <w:b/>
        </w:rPr>
      </w:pPr>
      <w:r w:rsidRPr="0028274B">
        <w:rPr>
          <w:rFonts w:cstheme="minorHAnsi"/>
          <w:b/>
          <w:bCs/>
        </w:rPr>
        <w:t xml:space="preserve">If a child is on voluntary commitment to the Cabinet:  </w:t>
      </w:r>
    </w:p>
    <w:p w14:paraId="5FDBF268" w14:textId="77777777" w:rsidR="00F75917" w:rsidRPr="0028274B" w:rsidRDefault="00F75917" w:rsidP="00F75917">
      <w:pPr>
        <w:numPr>
          <w:ilvl w:val="0"/>
          <w:numId w:val="10"/>
        </w:numPr>
        <w:spacing w:before="100" w:beforeAutospacing="1" w:after="100" w:afterAutospacing="1" w:line="240" w:lineRule="auto"/>
        <w:rPr>
          <w:rFonts w:cstheme="minorHAnsi"/>
        </w:rPr>
      </w:pPr>
      <w:r w:rsidRPr="0028274B">
        <w:rPr>
          <w:rFonts w:cstheme="minorHAnsi"/>
        </w:rPr>
        <w:t>The FSOS consents to treatment when a parent cannot be located in emergency situations;</w:t>
      </w:r>
    </w:p>
    <w:p w14:paraId="5FDBF269" w14:textId="77777777" w:rsidR="00F75917" w:rsidRPr="0028274B" w:rsidRDefault="00F75917" w:rsidP="00F75917">
      <w:pPr>
        <w:numPr>
          <w:ilvl w:val="0"/>
          <w:numId w:val="10"/>
        </w:numPr>
        <w:spacing w:before="100" w:beforeAutospacing="1" w:after="100" w:afterAutospacing="1" w:line="240" w:lineRule="auto"/>
        <w:rPr>
          <w:rFonts w:cstheme="minorHAnsi"/>
        </w:rPr>
      </w:pPr>
      <w:r w:rsidRPr="0028274B">
        <w:rPr>
          <w:rFonts w:cstheme="minorHAnsi"/>
        </w:rPr>
        <w:t xml:space="preserve">The placement provider may authorize treatment </w:t>
      </w:r>
      <w:r w:rsidRPr="0028274B">
        <w:rPr>
          <w:rFonts w:cstheme="minorHAnsi"/>
          <w:strike/>
          <w:color w:val="FF0000"/>
        </w:rPr>
        <w:t>only in an emergency,</w:t>
      </w:r>
      <w:r w:rsidRPr="0028274B">
        <w:rPr>
          <w:rFonts w:cstheme="minorHAnsi"/>
          <w:color w:val="FF0000"/>
        </w:rPr>
        <w:t xml:space="preserve"> </w:t>
      </w:r>
      <w:r w:rsidRPr="0028274B">
        <w:rPr>
          <w:rFonts w:cstheme="minorHAnsi"/>
        </w:rPr>
        <w:t xml:space="preserve">when a child needs medical treatment and the SSW or FSOS cannot be located.  </w:t>
      </w:r>
    </w:p>
    <w:p w14:paraId="5FDBF26A" w14:textId="77777777" w:rsidR="00F75917" w:rsidRPr="00F81D95" w:rsidRDefault="00F75917" w:rsidP="00F81D95">
      <w:pPr>
        <w:ind w:left="360"/>
        <w:rPr>
          <w:rFonts w:cstheme="minorHAnsi"/>
          <w:b/>
        </w:rPr>
      </w:pPr>
      <w:r w:rsidRPr="0028274B">
        <w:rPr>
          <w:rFonts w:cstheme="minorHAnsi"/>
          <w:b/>
          <w:iCs/>
        </w:rPr>
        <w:t xml:space="preserve">Response:  </w:t>
      </w:r>
      <w:r w:rsidR="00F81D95" w:rsidRPr="009E4705">
        <w:rPr>
          <w:rFonts w:cstheme="minorHAnsi"/>
        </w:rPr>
        <w:t>P</w:t>
      </w:r>
      <w:r w:rsidR="00F81D95">
        <w:rPr>
          <w:rFonts w:cstheme="minorHAnsi"/>
        </w:rPr>
        <w:t xml:space="preserve">olicy </w:t>
      </w:r>
      <w:proofErr w:type="gramStart"/>
      <w:r w:rsidR="00F81D95">
        <w:rPr>
          <w:rFonts w:cstheme="minorHAnsi"/>
        </w:rPr>
        <w:t>is</w:t>
      </w:r>
      <w:r w:rsidR="00F81D95" w:rsidRPr="009E4705">
        <w:rPr>
          <w:rFonts w:cstheme="minorHAnsi"/>
        </w:rPr>
        <w:t xml:space="preserve"> updated</w:t>
      </w:r>
      <w:proofErr w:type="gramEnd"/>
      <w:r w:rsidR="00F81D95" w:rsidRPr="009E4705">
        <w:rPr>
          <w:rFonts w:cstheme="minorHAnsi"/>
        </w:rPr>
        <w:t xml:space="preserve"> to include</w:t>
      </w:r>
      <w:r w:rsidR="00F81D95">
        <w:rPr>
          <w:rFonts w:cstheme="minorHAnsi"/>
        </w:rPr>
        <w:t xml:space="preserve">: </w:t>
      </w:r>
      <w:r w:rsidR="00F81D95" w:rsidRPr="00BB2A94">
        <w:rPr>
          <w:rFonts w:ascii="Verdana" w:eastAsia="Times New Roman" w:hAnsi="Verdana" w:cs="Times New Roman"/>
          <w:color w:val="676767"/>
          <w:sz w:val="16"/>
          <w:szCs w:val="16"/>
        </w:rPr>
        <w:t> </w:t>
      </w:r>
      <w:r w:rsidR="00F81D95" w:rsidRPr="00F81D95">
        <w:rPr>
          <w:rFonts w:eastAsia="Times New Roman" w:cstheme="minorHAnsi"/>
          <w:b/>
          <w:color w:val="FF0000"/>
        </w:rPr>
        <w:t>A SSW or FSOS should be notified by the next business day following a medical appointment in which they could not be reached to consent</w:t>
      </w:r>
      <w:r w:rsidR="00F81D95" w:rsidRPr="00F81D95">
        <w:rPr>
          <w:rFonts w:ascii="Verdana" w:eastAsia="Times New Roman" w:hAnsi="Verdana" w:cs="Times New Roman"/>
          <w:b/>
          <w:color w:val="FF0000"/>
          <w:sz w:val="16"/>
          <w:szCs w:val="16"/>
        </w:rPr>
        <w:t>.</w:t>
      </w:r>
      <w:r w:rsidR="00F81D95">
        <w:rPr>
          <w:rFonts w:ascii="Verdana" w:eastAsia="Times New Roman" w:hAnsi="Verdana" w:cs="Times New Roman"/>
          <w:color w:val="FF0000"/>
          <w:sz w:val="16"/>
          <w:szCs w:val="16"/>
        </w:rPr>
        <w:t xml:space="preserve">  </w:t>
      </w:r>
    </w:p>
    <w:p w14:paraId="5FDBF26B" w14:textId="77777777" w:rsidR="00F75917" w:rsidRPr="0028274B" w:rsidRDefault="00F75917" w:rsidP="00F75917">
      <w:pPr>
        <w:pStyle w:val="ListParagraph"/>
        <w:numPr>
          <w:ilvl w:val="0"/>
          <w:numId w:val="8"/>
        </w:numPr>
        <w:rPr>
          <w:rFonts w:cstheme="minorHAnsi"/>
        </w:rPr>
      </w:pPr>
      <w:r w:rsidRPr="0028274B">
        <w:rPr>
          <w:rFonts w:cstheme="minorHAnsi"/>
          <w:b/>
          <w:iCs/>
        </w:rPr>
        <w:t xml:space="preserve">Comment:  </w:t>
      </w:r>
      <w:r w:rsidRPr="0028274B">
        <w:rPr>
          <w:rFonts w:cstheme="minorHAnsi"/>
        </w:rPr>
        <w:t xml:space="preserve">My biggest concern is parents </w:t>
      </w:r>
      <w:proofErr w:type="gramStart"/>
      <w:r w:rsidRPr="0028274B">
        <w:rPr>
          <w:rFonts w:cstheme="minorHAnsi"/>
        </w:rPr>
        <w:t>are being asked</w:t>
      </w:r>
      <w:proofErr w:type="gramEnd"/>
      <w:r w:rsidRPr="0028274B">
        <w:rPr>
          <w:rFonts w:cstheme="minorHAnsi"/>
        </w:rPr>
        <w:t xml:space="preserve"> to sign this form at the beginning when their child enters OOHC. Even though policy states workers should engage the parent at the beginning of the work I am concerned that workers will see this form as a blanket consent and not engage the parent to attend doctor appointments (when safe).  Especially since what they are being asked to sign reflects CHFS can consent and foster parents are allowed to consent without their approval (KRS 605.110) and that a court order can and will be obtained.   The language </w:t>
      </w:r>
      <w:proofErr w:type="gramStart"/>
      <w:r w:rsidRPr="0028274B">
        <w:rPr>
          <w:rFonts w:cstheme="minorHAnsi"/>
        </w:rPr>
        <w:t>doesn’t</w:t>
      </w:r>
      <w:proofErr w:type="gramEnd"/>
      <w:r w:rsidRPr="0028274B">
        <w:rPr>
          <w:rFonts w:cstheme="minorHAnsi"/>
        </w:rPr>
        <w:t xml:space="preserve"> reflect partnership with the parents.  This can be detrimental when a child </w:t>
      </w:r>
      <w:proofErr w:type="gramStart"/>
      <w:r w:rsidRPr="0028274B">
        <w:rPr>
          <w:rFonts w:cstheme="minorHAnsi"/>
        </w:rPr>
        <w:t>is first removed</w:t>
      </w:r>
      <w:proofErr w:type="gramEnd"/>
      <w:r w:rsidRPr="0028274B">
        <w:rPr>
          <w:rFonts w:cstheme="minorHAnsi"/>
        </w:rPr>
        <w:t xml:space="preserve"> from parents.</w:t>
      </w:r>
    </w:p>
    <w:p w14:paraId="5FDBF26C" w14:textId="77777777" w:rsidR="00F81D95" w:rsidRPr="00F81D95" w:rsidRDefault="00F75917" w:rsidP="00F81D95">
      <w:pPr>
        <w:ind w:left="360"/>
        <w:rPr>
          <w:rFonts w:cstheme="minorHAnsi"/>
        </w:rPr>
      </w:pPr>
      <w:r w:rsidRPr="0028274B">
        <w:rPr>
          <w:rFonts w:cstheme="minorHAnsi"/>
          <w:b/>
        </w:rPr>
        <w:t xml:space="preserve">Response:  </w:t>
      </w:r>
      <w:r w:rsidR="00F81D95" w:rsidRPr="00F81D95">
        <w:rPr>
          <w:rFonts w:cstheme="minorHAnsi"/>
        </w:rPr>
        <w:t xml:space="preserve">The statute </w:t>
      </w:r>
      <w:proofErr w:type="gramStart"/>
      <w:r w:rsidR="00F81D95" w:rsidRPr="00F81D95">
        <w:rPr>
          <w:rFonts w:cstheme="minorHAnsi"/>
        </w:rPr>
        <w:t>was reviewed</w:t>
      </w:r>
      <w:proofErr w:type="gramEnd"/>
      <w:r w:rsidR="00F81D95" w:rsidRPr="00F81D95">
        <w:rPr>
          <w:rFonts w:cstheme="minorHAnsi"/>
        </w:rPr>
        <w:t xml:space="preserve"> during </w:t>
      </w:r>
      <w:r w:rsidR="00F81D95">
        <w:rPr>
          <w:rFonts w:cstheme="minorHAnsi"/>
        </w:rPr>
        <w:t>the drafting of this policy. The Office of Legal Services</w:t>
      </w:r>
      <w:r w:rsidR="00F81D95" w:rsidRPr="00F81D95">
        <w:rPr>
          <w:rFonts w:cstheme="minorHAnsi"/>
        </w:rPr>
        <w:t xml:space="preserve"> </w:t>
      </w:r>
      <w:proofErr w:type="gramStart"/>
      <w:r w:rsidR="00F81D95" w:rsidRPr="00F81D95">
        <w:rPr>
          <w:rFonts w:cstheme="minorHAnsi"/>
        </w:rPr>
        <w:t>was consulted</w:t>
      </w:r>
      <w:proofErr w:type="gramEnd"/>
      <w:r w:rsidR="00F81D95" w:rsidRPr="00F81D95">
        <w:rPr>
          <w:rFonts w:cstheme="minorHAnsi"/>
        </w:rPr>
        <w:t xml:space="preserve"> and </w:t>
      </w:r>
      <w:r w:rsidR="00F81D95">
        <w:rPr>
          <w:rFonts w:cstheme="minorHAnsi"/>
        </w:rPr>
        <w:t>they</w:t>
      </w:r>
      <w:r w:rsidR="00F81D95" w:rsidRPr="00F81D95">
        <w:rPr>
          <w:rFonts w:cstheme="minorHAnsi"/>
        </w:rPr>
        <w:t xml:space="preserve"> advised that the form and </w:t>
      </w:r>
      <w:r w:rsidR="00F81D95">
        <w:rPr>
          <w:rFonts w:cstheme="minorHAnsi"/>
        </w:rPr>
        <w:t>the policy adhere</w:t>
      </w:r>
      <w:r w:rsidR="00F81D95" w:rsidRPr="00F81D95">
        <w:rPr>
          <w:rFonts w:cstheme="minorHAnsi"/>
        </w:rPr>
        <w:t xml:space="preserve"> to KRS. </w:t>
      </w:r>
    </w:p>
    <w:p w14:paraId="5FDBF26D" w14:textId="77777777" w:rsidR="0028274B" w:rsidRPr="00F81D95" w:rsidRDefault="0028274B" w:rsidP="00F81D95">
      <w:pPr>
        <w:rPr>
          <w:rFonts w:cstheme="minorHAnsi"/>
          <w:b/>
        </w:rPr>
      </w:pPr>
    </w:p>
    <w:p w14:paraId="5FDBF26E" w14:textId="77777777" w:rsidR="00F75917" w:rsidRPr="0028274B" w:rsidRDefault="0028274B" w:rsidP="00F75917">
      <w:pPr>
        <w:rPr>
          <w:rFonts w:cstheme="minorHAnsi"/>
          <w:b/>
          <w:u w:val="single"/>
        </w:rPr>
      </w:pPr>
      <w:r w:rsidRPr="0028274B">
        <w:rPr>
          <w:rFonts w:cstheme="minorHAnsi"/>
          <w:b/>
          <w:u w:val="single"/>
        </w:rPr>
        <w:t>DPP-106</w:t>
      </w:r>
      <w:r w:rsidR="00F75917" w:rsidRPr="0028274B">
        <w:rPr>
          <w:rFonts w:cstheme="minorHAnsi"/>
          <w:b/>
          <w:u w:val="single"/>
        </w:rPr>
        <w:t>A</w:t>
      </w:r>
    </w:p>
    <w:p w14:paraId="5FDBF26F" w14:textId="77777777" w:rsidR="00F0750C" w:rsidRPr="0028274B" w:rsidRDefault="0028274B" w:rsidP="0028274B">
      <w:pPr>
        <w:pStyle w:val="ListParagraph"/>
        <w:ind w:left="0"/>
        <w:rPr>
          <w:rFonts w:cstheme="minorHAnsi"/>
        </w:rPr>
      </w:pPr>
      <w:r w:rsidRPr="0028274B">
        <w:rPr>
          <w:rFonts w:cstheme="minorHAnsi"/>
        </w:rPr>
        <w:t xml:space="preserve">No comments. </w:t>
      </w:r>
    </w:p>
    <w:sectPr w:rsidR="00F0750C" w:rsidRPr="0028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43"/>
    <w:multiLevelType w:val="multilevel"/>
    <w:tmpl w:val="54A4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655DA"/>
    <w:multiLevelType w:val="hybridMultilevel"/>
    <w:tmpl w:val="1432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14E82"/>
    <w:multiLevelType w:val="multilevel"/>
    <w:tmpl w:val="33C2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3621B"/>
    <w:multiLevelType w:val="multilevel"/>
    <w:tmpl w:val="8DE63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657FBF"/>
    <w:multiLevelType w:val="multilevel"/>
    <w:tmpl w:val="433C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65CD6"/>
    <w:multiLevelType w:val="multilevel"/>
    <w:tmpl w:val="8DE63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2858E9"/>
    <w:multiLevelType w:val="hybridMultilevel"/>
    <w:tmpl w:val="3D3C8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B44FC"/>
    <w:multiLevelType w:val="hybridMultilevel"/>
    <w:tmpl w:val="BEFA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AD7E39"/>
    <w:multiLevelType w:val="hybridMultilevel"/>
    <w:tmpl w:val="4CACB1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75C5654"/>
    <w:multiLevelType w:val="multilevel"/>
    <w:tmpl w:val="130649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392854"/>
    <w:multiLevelType w:val="hybridMultilevel"/>
    <w:tmpl w:val="C082B586"/>
    <w:lvl w:ilvl="0" w:tplc="7792B00E">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num>
  <w:num w:numId="6">
    <w:abstractNumId w:val="2"/>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0C"/>
    <w:rsid w:val="001E6554"/>
    <w:rsid w:val="0028274B"/>
    <w:rsid w:val="005827E0"/>
    <w:rsid w:val="0074137E"/>
    <w:rsid w:val="007F1AF9"/>
    <w:rsid w:val="00887B44"/>
    <w:rsid w:val="008E2BF2"/>
    <w:rsid w:val="008E4AD2"/>
    <w:rsid w:val="009E4705"/>
    <w:rsid w:val="00A9235B"/>
    <w:rsid w:val="00B41986"/>
    <w:rsid w:val="00EF21E2"/>
    <w:rsid w:val="00F0750C"/>
    <w:rsid w:val="00F507D6"/>
    <w:rsid w:val="00F75917"/>
    <w:rsid w:val="00F81D95"/>
    <w:rsid w:val="00FD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F252"/>
  <w15:chartTrackingRefBased/>
  <w15:docId w15:val="{54358A8C-7CA5-46A8-9FCB-17B5BEA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065">
      <w:bodyDiv w:val="1"/>
      <w:marLeft w:val="0"/>
      <w:marRight w:val="0"/>
      <w:marTop w:val="0"/>
      <w:marBottom w:val="0"/>
      <w:divBdr>
        <w:top w:val="none" w:sz="0" w:space="0" w:color="auto"/>
        <w:left w:val="none" w:sz="0" w:space="0" w:color="auto"/>
        <w:bottom w:val="none" w:sz="0" w:space="0" w:color="auto"/>
        <w:right w:val="none" w:sz="0" w:space="0" w:color="auto"/>
      </w:divBdr>
    </w:div>
    <w:div w:id="318964838">
      <w:bodyDiv w:val="1"/>
      <w:marLeft w:val="0"/>
      <w:marRight w:val="0"/>
      <w:marTop w:val="0"/>
      <w:marBottom w:val="0"/>
      <w:divBdr>
        <w:top w:val="none" w:sz="0" w:space="0" w:color="auto"/>
        <w:left w:val="none" w:sz="0" w:space="0" w:color="auto"/>
        <w:bottom w:val="none" w:sz="0" w:space="0" w:color="auto"/>
        <w:right w:val="none" w:sz="0" w:space="0" w:color="auto"/>
      </w:divBdr>
    </w:div>
    <w:div w:id="390272350">
      <w:bodyDiv w:val="1"/>
      <w:marLeft w:val="0"/>
      <w:marRight w:val="0"/>
      <w:marTop w:val="0"/>
      <w:marBottom w:val="0"/>
      <w:divBdr>
        <w:top w:val="none" w:sz="0" w:space="0" w:color="auto"/>
        <w:left w:val="none" w:sz="0" w:space="0" w:color="auto"/>
        <w:bottom w:val="none" w:sz="0" w:space="0" w:color="auto"/>
        <w:right w:val="none" w:sz="0" w:space="0" w:color="auto"/>
      </w:divBdr>
    </w:div>
    <w:div w:id="890113623">
      <w:bodyDiv w:val="1"/>
      <w:marLeft w:val="0"/>
      <w:marRight w:val="0"/>
      <w:marTop w:val="0"/>
      <w:marBottom w:val="0"/>
      <w:divBdr>
        <w:top w:val="none" w:sz="0" w:space="0" w:color="auto"/>
        <w:left w:val="none" w:sz="0" w:space="0" w:color="auto"/>
        <w:bottom w:val="none" w:sz="0" w:space="0" w:color="auto"/>
        <w:right w:val="none" w:sz="0" w:space="0" w:color="auto"/>
      </w:divBdr>
    </w:div>
    <w:div w:id="907231006">
      <w:bodyDiv w:val="1"/>
      <w:marLeft w:val="0"/>
      <w:marRight w:val="0"/>
      <w:marTop w:val="0"/>
      <w:marBottom w:val="0"/>
      <w:divBdr>
        <w:top w:val="none" w:sz="0" w:space="0" w:color="auto"/>
        <w:left w:val="none" w:sz="0" w:space="0" w:color="auto"/>
        <w:bottom w:val="none" w:sz="0" w:space="0" w:color="auto"/>
        <w:right w:val="none" w:sz="0" w:space="0" w:color="auto"/>
      </w:divBdr>
    </w:div>
    <w:div w:id="1256280614">
      <w:bodyDiv w:val="1"/>
      <w:marLeft w:val="0"/>
      <w:marRight w:val="0"/>
      <w:marTop w:val="0"/>
      <w:marBottom w:val="0"/>
      <w:divBdr>
        <w:top w:val="none" w:sz="0" w:space="0" w:color="auto"/>
        <w:left w:val="none" w:sz="0" w:space="0" w:color="auto"/>
        <w:bottom w:val="none" w:sz="0" w:space="0" w:color="auto"/>
        <w:right w:val="none" w:sz="0" w:space="0" w:color="auto"/>
      </w:divBdr>
    </w:div>
    <w:div w:id="1457600231">
      <w:bodyDiv w:val="1"/>
      <w:marLeft w:val="0"/>
      <w:marRight w:val="0"/>
      <w:marTop w:val="0"/>
      <w:marBottom w:val="0"/>
      <w:divBdr>
        <w:top w:val="none" w:sz="0" w:space="0" w:color="auto"/>
        <w:left w:val="none" w:sz="0" w:space="0" w:color="auto"/>
        <w:bottom w:val="none" w:sz="0" w:space="0" w:color="auto"/>
        <w:right w:val="none" w:sz="0" w:space="0" w:color="auto"/>
      </w:divBdr>
    </w:div>
    <w:div w:id="1500655071">
      <w:bodyDiv w:val="1"/>
      <w:marLeft w:val="0"/>
      <w:marRight w:val="0"/>
      <w:marTop w:val="0"/>
      <w:marBottom w:val="0"/>
      <w:divBdr>
        <w:top w:val="none" w:sz="0" w:space="0" w:color="auto"/>
        <w:left w:val="none" w:sz="0" w:space="0" w:color="auto"/>
        <w:bottom w:val="none" w:sz="0" w:space="0" w:color="auto"/>
        <w:right w:val="none" w:sz="0" w:space="0" w:color="auto"/>
      </w:divBdr>
    </w:div>
    <w:div w:id="1750344119">
      <w:bodyDiv w:val="1"/>
      <w:marLeft w:val="0"/>
      <w:marRight w:val="0"/>
      <w:marTop w:val="0"/>
      <w:marBottom w:val="0"/>
      <w:divBdr>
        <w:top w:val="none" w:sz="0" w:space="0" w:color="auto"/>
        <w:left w:val="none" w:sz="0" w:space="0" w:color="auto"/>
        <w:bottom w:val="none" w:sz="0" w:space="0" w:color="auto"/>
        <w:right w:val="none" w:sz="0" w:space="0" w:color="auto"/>
      </w:divBdr>
    </w:div>
    <w:div w:id="1770275137">
      <w:bodyDiv w:val="1"/>
      <w:marLeft w:val="0"/>
      <w:marRight w:val="0"/>
      <w:marTop w:val="0"/>
      <w:marBottom w:val="0"/>
      <w:divBdr>
        <w:top w:val="none" w:sz="0" w:space="0" w:color="auto"/>
        <w:left w:val="none" w:sz="0" w:space="0" w:color="auto"/>
        <w:bottom w:val="none" w:sz="0" w:space="0" w:color="auto"/>
        <w:right w:val="none" w:sz="0" w:space="0" w:color="auto"/>
      </w:divBdr>
    </w:div>
    <w:div w:id="1839690525">
      <w:bodyDiv w:val="1"/>
      <w:marLeft w:val="0"/>
      <w:marRight w:val="0"/>
      <w:marTop w:val="0"/>
      <w:marBottom w:val="0"/>
      <w:divBdr>
        <w:top w:val="none" w:sz="0" w:space="0" w:color="auto"/>
        <w:left w:val="none" w:sz="0" w:space="0" w:color="auto"/>
        <w:bottom w:val="none" w:sz="0" w:space="0" w:color="auto"/>
        <w:right w:val="none" w:sz="0" w:space="0" w:color="auto"/>
      </w:divBdr>
    </w:div>
    <w:div w:id="1856113846">
      <w:bodyDiv w:val="1"/>
      <w:marLeft w:val="0"/>
      <w:marRight w:val="0"/>
      <w:marTop w:val="0"/>
      <w:marBottom w:val="0"/>
      <w:divBdr>
        <w:top w:val="none" w:sz="0" w:space="0" w:color="auto"/>
        <w:left w:val="none" w:sz="0" w:space="0" w:color="auto"/>
        <w:bottom w:val="none" w:sz="0" w:space="0" w:color="auto"/>
        <w:right w:val="none" w:sz="0" w:space="0" w:color="auto"/>
      </w:divBdr>
    </w:div>
    <w:div w:id="1859853609">
      <w:bodyDiv w:val="1"/>
      <w:marLeft w:val="0"/>
      <w:marRight w:val="0"/>
      <w:marTop w:val="0"/>
      <w:marBottom w:val="0"/>
      <w:divBdr>
        <w:top w:val="none" w:sz="0" w:space="0" w:color="auto"/>
        <w:left w:val="none" w:sz="0" w:space="0" w:color="auto"/>
        <w:bottom w:val="none" w:sz="0" w:space="0" w:color="auto"/>
        <w:right w:val="none" w:sz="0" w:space="0" w:color="auto"/>
      </w:divBdr>
    </w:div>
    <w:div w:id="1896969593">
      <w:bodyDiv w:val="1"/>
      <w:marLeft w:val="0"/>
      <w:marRight w:val="0"/>
      <w:marTop w:val="0"/>
      <w:marBottom w:val="0"/>
      <w:divBdr>
        <w:top w:val="none" w:sz="0" w:space="0" w:color="auto"/>
        <w:left w:val="none" w:sz="0" w:space="0" w:color="auto"/>
        <w:bottom w:val="none" w:sz="0" w:space="0" w:color="auto"/>
        <w:right w:val="none" w:sz="0" w:space="0" w:color="auto"/>
      </w:divBdr>
    </w:div>
    <w:div w:id="1946964966">
      <w:bodyDiv w:val="1"/>
      <w:marLeft w:val="0"/>
      <w:marRight w:val="0"/>
      <w:marTop w:val="0"/>
      <w:marBottom w:val="0"/>
      <w:divBdr>
        <w:top w:val="none" w:sz="0" w:space="0" w:color="auto"/>
        <w:left w:val="none" w:sz="0" w:space="0" w:color="auto"/>
        <w:bottom w:val="none" w:sz="0" w:space="0" w:color="auto"/>
        <w:right w:val="none" w:sz="0" w:space="0" w:color="auto"/>
      </w:divBdr>
    </w:div>
    <w:div w:id="21407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3B464-1A7C-460E-AB60-5706639F2002}">
  <ds:schemaRefs>
    <ds:schemaRef ds:uri="http://purl.org/dc/elements/1.1/"/>
    <ds:schemaRef ds:uri="http://schemas.openxmlformats.org/package/2006/metadata/core-properties"/>
    <ds:schemaRef ds:uri="65b60e10-1d1f-48db-8ed9-28ba608457d0"/>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9B17F1-08E0-48C2-9239-B1FC4FC36A72}">
  <ds:schemaRefs>
    <ds:schemaRef ds:uri="http://schemas.microsoft.com/sharepoint/v3/contenttype/forms"/>
  </ds:schemaRefs>
</ds:datastoreItem>
</file>

<file path=customXml/itemProps3.xml><?xml version="1.0" encoding="utf-8"?>
<ds:datastoreItem xmlns:ds="http://schemas.openxmlformats.org/officeDocument/2006/customXml" ds:itemID="{FD6B857A-9EA9-41DD-B923-87EBA80DB6DD}"/>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20-06 Statement of Consideration for  SOP 4.26.2 and DPP-106A</dc:title>
  <dc:subject/>
  <dc:creator>Cubert, Julie M (CHFS DCBS DPP)</dc:creator>
  <cp:keywords/>
  <dc:description/>
  <cp:lastModifiedBy>Cubert, Julie M (CHFS DCBS DPP)</cp:lastModifiedBy>
  <cp:revision>3</cp:revision>
  <dcterms:created xsi:type="dcterms:W3CDTF">2020-04-14T18:24:00Z</dcterms:created>
  <dcterms:modified xsi:type="dcterms:W3CDTF">2020-04-16T15:39:00Z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Statement Of Consideration</vt:lpwstr>
  </property>
  <property fmtid="{D5CDD505-2E9C-101B-9397-08002B2CF9AE}" pid="14" name="Document Year">
    <vt:lpwstr>2020</vt:lpwstr>
  </property>
</Properties>
</file>